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&lt;p&gt;Neni 28, Paragrafi 6&lt;/p&gt;
&lt;p&gt;Në mënyrë që kjo dispozitë të jetë më e qartë dhe e kuptueshme APK rekomandon të riformulohet si në vijim:&lt;/p&gt;
&lt;p&gt;6. Si rezultat i dënimit për veprën penale lidhur me deklarimin e pasurisë, mosdeklarim apo për deklarim të rremë, apo vendimit gjyqësor për konfiskimin e pasurisë së pajustifikueshme të gjyqtarit apo prokurorit, gjyqtari apo prokurori shkarkohet nga pozita.&lt;/p&gt;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2026-04-28T16:00:51+02:00</dcterms:created>
  <dcterms:modified xsi:type="dcterms:W3CDTF">2026-04-28T16:00:51+02:00</dcterms:modified>
  <dc:title/>
  <dc:description/>
  <dc:subject/>
  <cp:keywords/>
  <cp:category/>
</cp:coreProperties>
</file>